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92f2a82a431849fe"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5</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GARUPUL DE ACTIUNE LOCALA DOBROGEA CENTRALA</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Investiţii şi servicii de baza destinate comunității</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01</w:t>
            </w:r>
          </w:p>
        </w:tc>
        <w:tc>
          <w:tcPr>
            <w:vAlign w:val="center"/>
          </w:tcPr>
          <w:p>
            <w:r>
              <w:rPr>
                <w:rFonts w:ascii="Cambria Bold" w:hAnsi="Cambria Bold"/>
                <w:b/>
                <w:color w:val="1B4167"/>
                <w:sz w:val="24"/>
                <w:lang w:val="ro"/>
              </w:rPr>
              <w:t>îmbunătăţirea serviciilor publice de baza</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lang w:val="ro"/>
              </w:rPr>
              <w:t>Se verifica daca actiunea participa directa la imbunatatirea conditiilor pentru un numar cat mai mare de persoane.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02</w:t>
            </w:r>
          </w:p>
        </w:tc>
        <w:tc>
          <w:tcPr>
            <w:vAlign w:val="center"/>
          </w:tcPr>
          <w:p>
            <w:r>
              <w:rPr>
                <w:rFonts w:ascii="Cambria Bold" w:hAnsi="Cambria Bold"/>
                <w:b/>
                <w:color w:val="1B4167"/>
                <w:sz w:val="24"/>
                <w:lang w:val="ro"/>
              </w:rPr>
              <w:t>Investiția să se încadreze în tipul de sprijin prevăzut de intervenţie</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lang w:val="ro"/>
              </w:rPr>
              <w:t>Se va verifica în cadrul Cererii de finanțare  sau în cadrul documentației tehnice a proiectului (care poate fi după caz SF/DALI/MJ/CF – secțiune A6) dacă acțiunile/investițiile propuse în cadrul proiectului se regăsesc printre cele menționate în prezentul Ghid la secțiunea „Tipuri de investiții/servicii și cheltuieli eligibile”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03</w:t>
            </w:r>
          </w:p>
        </w:tc>
        <w:tc>
          <w:tcPr>
            <w:vAlign w:val="center"/>
          </w:tcPr>
          <w:p>
            <w:r>
              <w:rPr>
                <w:rFonts w:ascii="Cambria Bold" w:hAnsi="Cambria Bold"/>
                <w:b/>
                <w:color w:val="1B4167"/>
                <w:sz w:val="24"/>
                <w:lang w:val="ro"/>
              </w:rPr>
              <w:t>acțiunile trebuie să fie în corelare cu strategia de dezvoltare GAL, cu strategiile de dezvoltare locală și/sau județeană.</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lang w:val="ro"/>
              </w:rPr>
              <w:t>Se verifica in Strategia locala de dezvoltare, strategia judeteana sau strategia GAL daca actiunea propusa se regaseste in aceste documente.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04</w:t>
            </w:r>
          </w:p>
        </w:tc>
        <w:tc>
          <w:tcPr>
            <w:vAlign w:val="center"/>
          </w:tcPr>
          <w:p>
            <w:r>
              <w:rPr>
                <w:rFonts w:ascii="Cambria Bold" w:hAnsi="Cambria Bold"/>
                <w:b/>
                <w:color w:val="1B4167"/>
                <w:sz w:val="24"/>
                <w:lang w:val="ro"/>
              </w:rPr>
              <w:t>Solicitanții care nu au primit anterior sprijin comunitar pentru aceeaşi investiţie</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lang w:val="ro"/>
              </w:rPr>
              <w:t>Se verifica in colaborare cu AFIR daca solicitantul a mai implementat un proiect asemanator care sa duca la obtinerea acelorasi rezultate</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utilarii serviciilor de baza destinate populatiei teritoriului</w:t>
            </w:r>
          </w:p>
        </w:tc>
        <w:tc>
          <w:tcPr>
            <w:shd w:val="clear" w:color="auto" w:fill="CCE1DB"/>
            <w:vAlign w:val="center"/>
          </w:tcPr>
          <w:p>
            <w:pPr>
              <w:spacing w:line="360" w:lineRule="auto"/>
              <w:ind w:left="0" w:right="0" w:firstLine="493"/>
            </w:pPr>
            <w:r>
              <w:rPr>
                <w:rFonts w:ascii="Cambria Bold" w:hAnsi="Cambria Bold"/>
                <w:b/>
                <w:color w:val="014935"/>
                <w:sz w:val="24"/>
              </w:rPr>
              <w:t>50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utilarea serviciilor de baza destinate populatiei teritoriului </w:t>
            </w:r>
          </w:p>
        </w:tc>
        <w:tc>
          <w:tcPr>
            <w:vAlign w:val="center"/>
          </w:tcPr>
          <w:p>
            <w:pPr>
              <w:keepNext/>
              <w:jc w:val="center"/>
            </w:pPr>
            <w:r>
              <w:rPr>
                <w:rFonts w:ascii="Cambria" w:hAnsi="Cambria"/>
                <w:b w:val="false"/>
                <w:sz w:val="24"/>
              </w:rPr>
              <w:t>50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va verifica în cadrul Cererii de finanțare (pentru proiectele de servicii) sau în cadrul documentației tehnice a proiectului (care poate fi după caz SF/DALI/MJ/CF – secțiune descriere proiect) dacă sunt incluse în cadrul proiectului servicii/activități/investiții/ privind fiecare din domeniile aferente criteriului, pentru care se acordă punctaj.</w:t>
            </w:r>
          </w:p>
          <w:p>
            <w:pPr>
              <w:spacing w:line="360" w:lineRule="auto"/>
              <w:ind w:left="0" w:right="0" w:firstLine="493"/>
            </w:pPr>
            <w:r>
              <w:rPr>
                <w:rFonts w:ascii="Cambria" w:hAnsi="Cambria"/>
                <w:b w:val="false"/>
                <w:sz w:val="24"/>
              </w:rPr>
              <w:t>Proiecte pentru dezvoltarea serviciilor publice - 50 puncte.</w:t>
            </w:r>
          </w:p>
          <w:p>
            <w:pPr>
              <w:spacing w:line="360" w:lineRule="auto"/>
              <w:ind w:left="0" w:right="0" w:firstLine="493"/>
            </w:pPr>
            <w:r>
              <w:rPr>
                <w:rFonts w:ascii="Cambria" w:hAnsi="Cambria"/>
                <w:b w:val="false"/>
                <w:sz w:val="24"/>
              </w:rPr>
              <w:t>Proiecte pentru siguranță publică  - 30 puncte</w:t>
            </w:r>
          </w:p>
          <w:p>
            <w:pPr>
              <w:spacing w:line="360" w:lineRule="auto"/>
              <w:ind w:left="0" w:right="0" w:firstLine="493"/>
            </w:pPr>
            <w:r>
              <w:rPr>
                <w:rFonts w:ascii="Cambria" w:hAnsi="Cambria"/>
                <w:b w:val="false"/>
                <w:sz w:val="24"/>
                <w:lang w:val="ro"/>
              </w:rPr>
              <w:t>Proiecte pentru agrement, culturale și recreere – 20 puncte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utilitatii actiunii pentru cel putin o comunitate din teritoriu.</w:t>
            </w:r>
          </w:p>
        </w:tc>
        <w:tc>
          <w:tcPr>
            <w:shd w:val="clear" w:color="auto" w:fill="CCE1DB"/>
            <w:vAlign w:val="center"/>
          </w:tcPr>
          <w:p>
            <w:pPr>
              <w:spacing w:line="360" w:lineRule="auto"/>
              <w:ind w:left="0" w:right="0" w:firstLine="493"/>
            </w:pPr>
            <w:r>
              <w:rPr>
                <w:rFonts w:ascii="Cambria Bold" w:hAnsi="Cambria Bold"/>
                <w:b/>
                <w:color w:val="014935"/>
                <w:sz w:val="24"/>
              </w:rPr>
              <w:t>35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lang w:val="ro"/>
              </w:rPr>
              <w:t>actiuni aplicate pentru cel putin o comunitate din teritoriu</w:t>
            </w:r>
            <w:r>
              <w:rPr>
                <w:rFonts w:ascii="Cambria" w:hAnsi="Cambria"/>
                <w:b w:val="false"/>
                <w:color w:val="58400C"/>
                <w:sz w:val="24"/>
              </w:rPr>
              <w:t>  </w:t>
            </w:r>
          </w:p>
        </w:tc>
        <w:tc>
          <w:tcPr>
            <w:vAlign w:val="center"/>
          </w:tcPr>
          <w:p>
            <w:pPr>
              <w:keepNext/>
              <w:jc w:val="center"/>
            </w:pPr>
            <w:r>
              <w:rPr>
                <w:rFonts w:ascii="Cambria" w:hAnsi="Cambria"/>
                <w:b w:val="false"/>
                <w:sz w:val="24"/>
              </w:rPr>
              <w:t>35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lang w:val="ro"/>
              </w:rPr>
              <w:t>Proiecte cu grad mare de acoperire a populației deservite (proiectele care prin investiția propusă se adresează unui număr cât mai mare de gospodării)</w:t>
            </w:r>
          </w:p>
          <w:p>
            <w:pPr>
              <w:spacing w:line="360" w:lineRule="auto"/>
              <w:ind w:left="0" w:right="0" w:firstLine="493"/>
            </w:pPr>
            <w:r>
              <w:rPr>
                <w:rFonts w:ascii="Cambria" w:hAnsi="Cambria"/>
                <w:b w:val="false"/>
                <w:sz w:val="24"/>
                <w:lang w:val="ro"/>
              </w:rPr>
              <w:t>35 p 4.000-5.000 locuitori</w:t>
            </w:r>
          </w:p>
          <w:p>
            <w:pPr>
              <w:spacing w:line="360" w:lineRule="auto"/>
              <w:ind w:left="0" w:right="0" w:firstLine="493"/>
            </w:pPr>
            <w:r>
              <w:rPr>
                <w:rFonts w:ascii="Cambria" w:hAnsi="Cambria"/>
                <w:b w:val="false"/>
                <w:sz w:val="24"/>
                <w:lang w:val="ro"/>
              </w:rPr>
              <w:t>25 p 2.500 – 4.000 locuitori</w:t>
            </w:r>
          </w:p>
          <w:p>
            <w:pPr>
              <w:spacing w:line="360" w:lineRule="auto"/>
              <w:ind w:left="0" w:right="0" w:firstLine="493"/>
            </w:pPr>
            <w:r>
              <w:rPr>
                <w:rFonts w:ascii="Cambria" w:hAnsi="Cambria"/>
                <w:b w:val="false"/>
                <w:sz w:val="24"/>
                <w:lang w:val="ro"/>
              </w:rPr>
              <w:t>15 p 1.000 – 2.499 locuiori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principiul utilarii cu echipamente de energie verde a spatiilor publice.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 </w:t>
            </w:r>
          </w:p>
        </w:tc>
        <w:tc>
          <w:tcPr>
            <w:shd w:val="clear" w:color="auto" w:fill="F8ECD2"/>
            <w:vAlign w:val="center"/>
          </w:tcPr>
          <w:p>
            <w:r>
              <w:rPr>
                <w:rFonts w:ascii="Cambria" w:hAnsi="Cambria"/>
                <w:b w:val="false"/>
                <w:color w:val="58400C"/>
                <w:sz w:val="24"/>
              </w:rPr>
              <w:t>echipare cu surse de energie verde a spatiilor publice.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În cadrul proiectului sunt incluse cheltuieli privind energia regenerabilă și creșterea eficienței energetice</w:t>
            </w:r>
          </w:p>
          <w:p>
            <w:r>
              <w:rPr>
                <w:rFonts w:ascii="Cambria" w:hAnsi="Cambria"/>
                <w:b w:val="false"/>
                <w:sz w:val="24"/>
                <w:lang w:val="ro"/>
              </w:rPr>
              <w:t>Astfel, se va verifica în cadrul Cererii de finanțare (pentru proiectele de servicii) sau în cadrul documentației tehnice a proiectului (care poate fi după caz SF/DALI/MJ/CF – secțiune A6) dacă sunt incluse în cadrul proiectului servicii/activități/investiții/ privind utilizarea resurselor regenerabile și creșterea eficienței energetice</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tc>
        <w:tc>
          <w:tcPr>
            <w:shd w:val="clear" w:color="auto" w:fill="F8ECD2"/>
            <w:vAlign w:val="center"/>
          </w:tcPr>
          <w:p>
            <w:r>
              <w:rPr>
                <w:rFonts w:ascii="Cambria" w:hAnsi="Cambria"/>
                <w:b w:val="false"/>
                <w:color w:val="58400C"/>
                <w:sz w:val="24"/>
              </w:rPr>
              <w:t>TOTAL</w:t>
            </w:r>
          </w:p>
        </w:tc>
        <w:tc>
          <w:tcPr>
            <w:vAlign w:val="center"/>
          </w:tcPr>
          <w:p>
            <w:pPr>
              <w:keepNext/>
              <w:jc w:val="center"/>
            </w:pPr>
            <w:r>
              <w:rPr>
                <w:rFonts w:ascii="Cambria" w:hAnsi="Cambria"/>
                <w:b w:val="false"/>
                <w:sz w:val="24"/>
              </w:rPr>
              <w:t>100</w:t>
            </w:r>
          </w:p>
        </w:tc>
        <w:tc>
          <w:tcPr>
            <w:vAlign w:val="center"/>
          </w:tcPr>
          <w:p/>
        </w:tc>
        <w:tc>
          <w:tcPr>
            <w:vAlign w:val="center"/>
          </w:tcPr>
          <w:p/>
        </w:tc>
      </w:tr>
      <w:tr>
        <w:trPr/>
        <w:tc>
          <w:tcPr>
            <w:gridSpan w:val="5"/>
            <w:shd w:val="clear" w:color="auto" w:fill="DDDDDD"/>
            <w:vAlign w:val="center"/>
          </w:tcP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tc>
        <w:tc>
          <w:tcPr>
            <w:shd w:val="clear" w:color="auto" w:fill="F8ECD2"/>
            <w:vAlign w:val="center"/>
          </w:tcPr>
          <w:p>
            <w:r>
              <w:rPr>
                <w:rFonts w:ascii="Cambria" w:hAnsi="Cambria"/>
                <w:b w:val="false"/>
                <w:color w:val="58400C"/>
                <w:sz w:val="24"/>
              </w:rPr>
              <w:t>PUNCTAJ MINIM</w:t>
            </w:r>
          </w:p>
        </w:tc>
        <w:tc>
          <w:tcPr>
            <w:vAlign w:val="center"/>
          </w:tcPr>
          <w:p>
            <w:pPr>
              <w:keepNext/>
              <w:jc w:val="center"/>
            </w:pPr>
            <w:r>
              <w:rPr>
                <w:rFonts w:ascii="Cambria" w:hAnsi="Cambria"/>
                <w:b w:val="false"/>
                <w:sz w:val="24"/>
              </w:rPr>
              <w:t>35</w:t>
            </w:r>
          </w:p>
        </w:tc>
        <w:tc>
          <w:tcPr>
            <w:vAlign w:val="center"/>
          </w:tcPr>
          <w:p/>
        </w:tc>
        <w:tc>
          <w:tcPr>
            <w:vAlign w:val="center"/>
          </w:tcPr>
          <w:p/>
        </w:tc>
      </w:tr>
      <w:tr>
        <w:trPr/>
        <w:tc>
          <w:tcPr>
            <w:gridSpan w:val="5"/>
            <w:shd w:val="clear" w:color="auto" w:fill="DDDDDD"/>
            <w:vAlign w:val="center"/>
          </w:tcP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lang w:val="ro"/>
              </w:rPr>
              <w:t>Puctajul obtinut in urma evaluarii</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Selecţia proiectelor eligibile se face în ordinea descrescătoare a punctajului obtinut.</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lang w:val="ro"/>
              </w:rPr>
              <w:t>Numar de locuitori deserviti</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Se vor selecta proiectele cu punctaj egal, în ordinea descrescătoare a nr. de locuitori deserviți</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 </w:t>
            </w:r>
          </w:p>
        </w:tc>
        <w:tc>
          <w:tcPr>
            <w:shd w:val="clear" w:color="auto" w:fill="F8ECD2"/>
            <w:vAlign w:val="center"/>
          </w:tcPr>
          <w:p>
            <w:r>
              <w:rPr>
                <w:rFonts w:ascii="Cambria" w:hAnsi="Cambria"/>
                <w:b w:val="false"/>
                <w:color w:val="58400C"/>
                <w:sz w:val="24"/>
                <w:lang w:val="ro"/>
              </w:rPr>
              <w:t>Valoarea totala a cererii de finantare</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Se vor selecta proiectele cu punctaj egal, în ordinea descrescătoare a valorii cererii de finantare</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47caa4d11ef144b4" /></Relationships>
</file>